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9BA6" w14:textId="68084D44" w:rsidR="00806540" w:rsidRDefault="00806540" w:rsidP="00806540">
      <w:pPr>
        <w:spacing w:after="0" w:line="240" w:lineRule="auto"/>
        <w:rPr>
          <w:rFonts w:ascii="Verdana" w:hAnsi="Verdana"/>
          <w:b/>
          <w:bCs/>
          <w:sz w:val="28"/>
          <w:szCs w:val="28"/>
        </w:rPr>
      </w:pPr>
      <w:r>
        <w:rPr>
          <w:rFonts w:ascii="Verdana" w:hAnsi="Verdana"/>
          <w:noProof/>
        </w:rPr>
        <w:drawing>
          <wp:anchor distT="0" distB="0" distL="114300" distR="114300" simplePos="0" relativeHeight="251659264" behindDoc="0" locked="0" layoutInCell="1" allowOverlap="1" wp14:anchorId="1C77781A" wp14:editId="5F22E2EE">
            <wp:simplePos x="0" y="0"/>
            <wp:positionH relativeFrom="column">
              <wp:posOffset>3552190</wp:posOffset>
            </wp:positionH>
            <wp:positionV relativeFrom="paragraph">
              <wp:posOffset>-409575</wp:posOffset>
            </wp:positionV>
            <wp:extent cx="2828925" cy="1885950"/>
            <wp:effectExtent l="0" t="0" r="9525" b="0"/>
            <wp:wrapSquare wrapText="bothSides"/>
            <wp:docPr id="1" name="Picture 1" descr="A picture containing person, indoor, sweet, tooth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sweet, toothbrush&#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8925" cy="1885950"/>
                    </a:xfrm>
                    <a:prstGeom prst="rect">
                      <a:avLst/>
                    </a:prstGeom>
                  </pic:spPr>
                </pic:pic>
              </a:graphicData>
            </a:graphic>
            <wp14:sizeRelH relativeFrom="page">
              <wp14:pctWidth>0</wp14:pctWidth>
            </wp14:sizeRelH>
            <wp14:sizeRelV relativeFrom="page">
              <wp14:pctHeight>0</wp14:pctHeight>
            </wp14:sizeRelV>
          </wp:anchor>
        </w:drawing>
      </w:r>
    </w:p>
    <w:p w14:paraId="04A686CD" w14:textId="77777777" w:rsidR="00806540" w:rsidRDefault="00806540" w:rsidP="00806540">
      <w:pPr>
        <w:spacing w:after="0" w:line="240" w:lineRule="auto"/>
        <w:rPr>
          <w:rFonts w:ascii="Verdana" w:hAnsi="Verdana"/>
          <w:b/>
          <w:bCs/>
          <w:sz w:val="40"/>
          <w:szCs w:val="40"/>
        </w:rPr>
      </w:pPr>
      <w:r w:rsidRPr="00806540">
        <w:rPr>
          <w:rFonts w:ascii="Verdana" w:hAnsi="Verdana"/>
          <w:b/>
          <w:bCs/>
          <w:sz w:val="40"/>
          <w:szCs w:val="40"/>
        </w:rPr>
        <w:t xml:space="preserve">How </w:t>
      </w:r>
      <w:r w:rsidRPr="00806540">
        <w:rPr>
          <w:rFonts w:ascii="Verdana" w:hAnsi="Verdana"/>
          <w:b/>
          <w:bCs/>
          <w:sz w:val="40"/>
          <w:szCs w:val="40"/>
        </w:rPr>
        <w:t xml:space="preserve">Flu Can </w:t>
      </w:r>
    </w:p>
    <w:p w14:paraId="452F122A" w14:textId="471B7D66" w:rsidR="00806540" w:rsidRPr="00806540" w:rsidRDefault="00806540" w:rsidP="00806540">
      <w:pPr>
        <w:spacing w:after="0" w:line="240" w:lineRule="auto"/>
        <w:rPr>
          <w:rFonts w:ascii="Verdana" w:hAnsi="Verdana"/>
          <w:b/>
          <w:bCs/>
          <w:sz w:val="40"/>
          <w:szCs w:val="40"/>
        </w:rPr>
      </w:pPr>
      <w:r w:rsidRPr="00806540">
        <w:rPr>
          <w:rFonts w:ascii="Verdana" w:hAnsi="Verdana"/>
          <w:b/>
          <w:bCs/>
          <w:sz w:val="40"/>
          <w:szCs w:val="40"/>
        </w:rPr>
        <w:t>Make Seniors Frail</w:t>
      </w:r>
    </w:p>
    <w:p w14:paraId="13E4C361" w14:textId="77777777" w:rsidR="00806540" w:rsidRDefault="00806540" w:rsidP="00806540">
      <w:pPr>
        <w:rPr>
          <w:rFonts w:ascii="Verdana" w:hAnsi="Verdana"/>
          <w:i/>
          <w:iCs/>
          <w:sz w:val="20"/>
          <w:szCs w:val="20"/>
        </w:rPr>
      </w:pPr>
    </w:p>
    <w:p w14:paraId="772372F2" w14:textId="73DA2C5C" w:rsidR="00806540" w:rsidRPr="00806540" w:rsidRDefault="00806540" w:rsidP="00806540">
      <w:pPr>
        <w:rPr>
          <w:rFonts w:ascii="Verdana" w:hAnsi="Verdana"/>
          <w:i/>
          <w:iCs/>
          <w:sz w:val="18"/>
          <w:szCs w:val="18"/>
        </w:rPr>
      </w:pPr>
      <w:r w:rsidRPr="00806540">
        <w:rPr>
          <w:rFonts w:ascii="Verdana" w:hAnsi="Verdana"/>
          <w:i/>
          <w:iCs/>
          <w:sz w:val="18"/>
          <w:szCs w:val="18"/>
        </w:rPr>
        <w:t>Supported by an educational grant from Sanofi Pasteur</w:t>
      </w:r>
    </w:p>
    <w:p w14:paraId="342B2B28" w14:textId="77777777" w:rsidR="00806540" w:rsidRPr="00806540" w:rsidRDefault="00806540" w:rsidP="00806540">
      <w:pPr>
        <w:spacing w:after="0" w:line="240" w:lineRule="auto"/>
        <w:rPr>
          <w:rFonts w:ascii="Verdana" w:hAnsi="Verdana"/>
          <w:b/>
          <w:bCs/>
          <w:sz w:val="28"/>
          <w:szCs w:val="28"/>
        </w:rPr>
      </w:pPr>
    </w:p>
    <w:p w14:paraId="39D8B35E" w14:textId="77777777" w:rsidR="00806540" w:rsidRPr="00806540" w:rsidRDefault="00806540" w:rsidP="00806540">
      <w:pPr>
        <w:spacing w:after="0" w:line="240" w:lineRule="auto"/>
        <w:rPr>
          <w:rFonts w:ascii="Verdana" w:hAnsi="Verdana"/>
          <w:b/>
          <w:bCs/>
        </w:rPr>
      </w:pPr>
    </w:p>
    <w:p w14:paraId="4965FC62" w14:textId="79001423" w:rsidR="00806540" w:rsidRDefault="00806540" w:rsidP="00806540">
      <w:pPr>
        <w:spacing w:after="0" w:line="240" w:lineRule="auto"/>
        <w:rPr>
          <w:rFonts w:ascii="Verdana" w:hAnsi="Verdana"/>
        </w:rPr>
      </w:pPr>
      <w:r w:rsidRPr="00806540">
        <w:rPr>
          <w:rFonts w:ascii="Verdana" w:hAnsi="Verdana"/>
        </w:rPr>
        <w:t>For the average healthy person, the flu is no fun by any means, but for seniors 65 and over, the consequences can be devastating.</w:t>
      </w:r>
    </w:p>
    <w:p w14:paraId="13116C11" w14:textId="77777777" w:rsidR="00806540" w:rsidRDefault="00806540" w:rsidP="00806540">
      <w:pPr>
        <w:spacing w:after="0" w:line="240" w:lineRule="auto"/>
        <w:rPr>
          <w:rFonts w:ascii="Verdana" w:hAnsi="Verdana"/>
        </w:rPr>
      </w:pPr>
    </w:p>
    <w:p w14:paraId="3981A3B7" w14:textId="2BABCDBA" w:rsidR="00806540" w:rsidRPr="00806540" w:rsidRDefault="00806540" w:rsidP="00806540">
      <w:pPr>
        <w:spacing w:after="0" w:line="240" w:lineRule="auto"/>
        <w:rPr>
          <w:rFonts w:ascii="Verdana" w:hAnsi="Verdana"/>
        </w:rPr>
      </w:pPr>
      <w:r w:rsidRPr="00806540">
        <w:rPr>
          <w:rFonts w:ascii="Verdana" w:hAnsi="Verdana"/>
        </w:rPr>
        <w:t>B</w:t>
      </w:r>
      <w:r w:rsidRPr="00806540">
        <w:rPr>
          <w:rFonts w:ascii="Verdana" w:hAnsi="Verdana"/>
        </w:rPr>
        <w:t>eing vaccinated for COVID-19 does not protect you from contracting the flu.</w:t>
      </w:r>
    </w:p>
    <w:p w14:paraId="68901045" w14:textId="77777777" w:rsidR="00806540" w:rsidRPr="00806540" w:rsidRDefault="00806540" w:rsidP="00806540">
      <w:pPr>
        <w:spacing w:after="0" w:line="240" w:lineRule="auto"/>
        <w:rPr>
          <w:rFonts w:ascii="Verdana" w:hAnsi="Verdana"/>
        </w:rPr>
      </w:pPr>
    </w:p>
    <w:p w14:paraId="79CD0AA5" w14:textId="77777777" w:rsidR="00806540" w:rsidRPr="00806540" w:rsidRDefault="00806540" w:rsidP="00806540">
      <w:pPr>
        <w:spacing w:after="0" w:line="240" w:lineRule="auto"/>
        <w:rPr>
          <w:rFonts w:ascii="Verdana" w:hAnsi="Verdana"/>
        </w:rPr>
      </w:pPr>
      <w:r w:rsidRPr="00806540">
        <w:rPr>
          <w:rFonts w:ascii="Verdana" w:hAnsi="Verdana"/>
        </w:rPr>
        <w:t>Due to the natural weakening of the immune system over time,</w:t>
      </w:r>
      <w:r w:rsidRPr="00806540">
        <w:rPr>
          <w:rStyle w:val="EndnoteReference"/>
          <w:rFonts w:ascii="Verdana" w:hAnsi="Verdana"/>
        </w:rPr>
        <w:endnoteReference w:id="1"/>
      </w:r>
      <w:r w:rsidRPr="00806540">
        <w:rPr>
          <w:rFonts w:ascii="Verdana" w:hAnsi="Verdana"/>
        </w:rPr>
        <w:t xml:space="preserve"> seniors are at a greater risk of catching the flu.</w:t>
      </w:r>
      <w:r w:rsidRPr="00806540">
        <w:rPr>
          <w:rStyle w:val="EndnoteReference"/>
          <w:rFonts w:ascii="Verdana" w:hAnsi="Verdana"/>
        </w:rPr>
        <w:endnoteReference w:id="2"/>
      </w:r>
      <w:r w:rsidRPr="00806540">
        <w:rPr>
          <w:rFonts w:ascii="Verdana" w:hAnsi="Verdana"/>
        </w:rPr>
        <w:t xml:space="preserve"> They are also more likely to experience long-term health complications, hospitalization, and frailty if they do get sick.</w:t>
      </w:r>
      <w:r w:rsidRPr="00806540">
        <w:rPr>
          <w:rFonts w:ascii="Verdana" w:hAnsi="Verdana"/>
          <w:vertAlign w:val="superscript"/>
        </w:rPr>
        <w:t>1</w:t>
      </w:r>
      <w:r w:rsidRPr="00806540">
        <w:rPr>
          <w:rFonts w:ascii="Verdana" w:hAnsi="Verdana"/>
        </w:rPr>
        <w:t xml:space="preserve"> </w:t>
      </w:r>
    </w:p>
    <w:p w14:paraId="4A1E4524" w14:textId="77777777" w:rsidR="00806540" w:rsidRPr="00806540" w:rsidRDefault="00806540" w:rsidP="00806540">
      <w:pPr>
        <w:spacing w:after="0" w:line="240" w:lineRule="auto"/>
        <w:rPr>
          <w:rFonts w:ascii="Verdana" w:hAnsi="Verdana"/>
        </w:rPr>
      </w:pPr>
    </w:p>
    <w:p w14:paraId="064F50D2" w14:textId="77777777" w:rsidR="00806540" w:rsidRPr="00806540" w:rsidRDefault="00806540" w:rsidP="00806540">
      <w:pPr>
        <w:spacing w:after="0" w:line="240" w:lineRule="auto"/>
        <w:rPr>
          <w:rFonts w:ascii="Verdana" w:hAnsi="Verdana"/>
        </w:rPr>
      </w:pPr>
      <w:r w:rsidRPr="00806540">
        <w:rPr>
          <w:rFonts w:ascii="Verdana" w:hAnsi="Verdana"/>
        </w:rPr>
        <w:t>Being hospitalized for a prolonged period can result in older adults losing the ability to care for themselves like they once could. In fact, one-third of seniors who are hospitalized leave not being able to perform their usual day-to-day tasks.</w:t>
      </w:r>
      <w:bookmarkStart w:id="0" w:name="_Ref42092180"/>
      <w:r w:rsidRPr="00806540">
        <w:rPr>
          <w:rStyle w:val="EndnoteReference"/>
          <w:rFonts w:ascii="Verdana" w:hAnsi="Verdana"/>
        </w:rPr>
        <w:endnoteReference w:id="3"/>
      </w:r>
      <w:bookmarkEnd w:id="0"/>
      <w:r w:rsidRPr="00806540">
        <w:rPr>
          <w:rFonts w:ascii="Verdana" w:hAnsi="Verdana"/>
        </w:rPr>
        <w:t xml:space="preserve"> </w:t>
      </w:r>
    </w:p>
    <w:p w14:paraId="2BDC3A7E" w14:textId="77777777" w:rsidR="00806540" w:rsidRPr="00806540" w:rsidRDefault="00806540" w:rsidP="00806540">
      <w:pPr>
        <w:spacing w:after="0" w:line="240" w:lineRule="auto"/>
        <w:rPr>
          <w:rFonts w:ascii="Verdana" w:hAnsi="Verdana"/>
        </w:rPr>
      </w:pPr>
    </w:p>
    <w:p w14:paraId="3ABCC213" w14:textId="77777777" w:rsidR="00806540" w:rsidRPr="00806540" w:rsidRDefault="00806540" w:rsidP="00806540">
      <w:pPr>
        <w:spacing w:after="0" w:line="240" w:lineRule="auto"/>
        <w:rPr>
          <w:rFonts w:ascii="Verdana" w:hAnsi="Verdana"/>
        </w:rPr>
      </w:pPr>
      <w:r w:rsidRPr="00806540">
        <w:rPr>
          <w:rFonts w:ascii="Verdana" w:hAnsi="Verdana"/>
        </w:rPr>
        <w:t>As a result, life can be drastically changed forever, with once active, seniors suddenly facing frailty they never experienced before. This can lead to seniors having to move into long-term care,</w:t>
      </w:r>
      <w:r w:rsidRPr="00806540">
        <w:rPr>
          <w:rStyle w:val="EndnoteReference"/>
          <w:rFonts w:ascii="Verdana" w:hAnsi="Verdana"/>
        </w:rPr>
        <w:endnoteReference w:id="4"/>
      </w:r>
      <w:r w:rsidRPr="00806540">
        <w:rPr>
          <w:rFonts w:ascii="Verdana" w:hAnsi="Verdana"/>
        </w:rPr>
        <w:t xml:space="preserve"> leaving behind the independence they once had. </w:t>
      </w:r>
    </w:p>
    <w:p w14:paraId="766E259F" w14:textId="77777777" w:rsidR="00806540" w:rsidRPr="00806540" w:rsidRDefault="00806540" w:rsidP="00806540">
      <w:pPr>
        <w:spacing w:after="0" w:line="240" w:lineRule="auto"/>
        <w:rPr>
          <w:rFonts w:ascii="Verdana" w:hAnsi="Verdana"/>
        </w:rPr>
      </w:pPr>
    </w:p>
    <w:p w14:paraId="7AA632FA" w14:textId="77777777" w:rsidR="00806540" w:rsidRPr="00806540" w:rsidRDefault="00806540" w:rsidP="00806540">
      <w:pPr>
        <w:spacing w:after="0" w:line="240" w:lineRule="auto"/>
        <w:rPr>
          <w:rFonts w:ascii="Verdana" w:hAnsi="Verdana"/>
        </w:rPr>
      </w:pPr>
      <w:r w:rsidRPr="00806540">
        <w:rPr>
          <w:rFonts w:ascii="Verdana" w:hAnsi="Verdana"/>
        </w:rPr>
        <w:t>The vulnerability a senior can face due to increased frailty has a ‘domino effect’ of negative implications as seniors’ health, relationships and livelihoods are impacted.</w:t>
      </w:r>
    </w:p>
    <w:p w14:paraId="54FEA884" w14:textId="77777777" w:rsidR="00806540" w:rsidRPr="00806540" w:rsidRDefault="00806540" w:rsidP="00806540">
      <w:pPr>
        <w:spacing w:after="0" w:line="240" w:lineRule="auto"/>
        <w:rPr>
          <w:rFonts w:ascii="Verdana" w:hAnsi="Verdana" w:cs="Times New Roman"/>
          <w:sz w:val="24"/>
          <w:szCs w:val="24"/>
          <w:lang w:eastAsia="en-CA"/>
        </w:rPr>
      </w:pPr>
    </w:p>
    <w:p w14:paraId="4893A7FE" w14:textId="77777777" w:rsidR="00806540" w:rsidRPr="00806540" w:rsidRDefault="00806540" w:rsidP="00806540">
      <w:pPr>
        <w:spacing w:after="0" w:line="240" w:lineRule="auto"/>
        <w:rPr>
          <w:rFonts w:ascii="Verdana" w:hAnsi="Verdana"/>
        </w:rPr>
      </w:pPr>
      <w:r w:rsidRPr="00806540">
        <w:rPr>
          <w:rFonts w:ascii="Verdana" w:hAnsi="Verdana"/>
        </w:rPr>
        <w:t xml:space="preserve">The good news is there are steps seniors can take to protect themselves, like getting an annual flu shot. </w:t>
      </w:r>
    </w:p>
    <w:p w14:paraId="24FACEE3" w14:textId="77777777" w:rsidR="00806540" w:rsidRPr="00806540" w:rsidRDefault="00806540" w:rsidP="00806540">
      <w:pPr>
        <w:autoSpaceDE w:val="0"/>
        <w:autoSpaceDN w:val="0"/>
        <w:adjustRightInd w:val="0"/>
        <w:spacing w:after="0" w:line="240" w:lineRule="auto"/>
        <w:rPr>
          <w:rFonts w:ascii="Verdana" w:hAnsi="Verdana"/>
        </w:rPr>
      </w:pPr>
    </w:p>
    <w:p w14:paraId="44DF9FB3" w14:textId="37A5E93C" w:rsidR="00806540" w:rsidRPr="00806540" w:rsidRDefault="00806540" w:rsidP="00806540">
      <w:pPr>
        <w:spacing w:after="0" w:line="240" w:lineRule="auto"/>
        <w:rPr>
          <w:rFonts w:ascii="Verdana" w:hAnsi="Verdana"/>
        </w:rPr>
      </w:pPr>
      <w:r w:rsidRPr="00806540">
        <w:rPr>
          <w:rFonts w:ascii="Verdana" w:hAnsi="Verdana"/>
        </w:rPr>
        <w:t>“Frailty is a growing threat for seniors and our healthcare system as our population ages,” says Dr. John Muscedere, Scientific Director and CEO, Canadian Frailty Network. “That’s why it’s important for seniors to get vaccinated against influenza before flu season hits.”</w:t>
      </w:r>
    </w:p>
    <w:p w14:paraId="51FE6992" w14:textId="77777777" w:rsidR="00806540" w:rsidRPr="00806540" w:rsidRDefault="00806540" w:rsidP="00806540">
      <w:pPr>
        <w:spacing w:after="0" w:line="240" w:lineRule="auto"/>
        <w:rPr>
          <w:rFonts w:ascii="Verdana" w:hAnsi="Verdana"/>
        </w:rPr>
      </w:pPr>
    </w:p>
    <w:p w14:paraId="2824F42F" w14:textId="77777777" w:rsidR="00806540" w:rsidRPr="00806540" w:rsidRDefault="00806540" w:rsidP="00806540">
      <w:pPr>
        <w:autoSpaceDE w:val="0"/>
        <w:autoSpaceDN w:val="0"/>
        <w:adjustRightInd w:val="0"/>
        <w:spacing w:after="0" w:line="240" w:lineRule="auto"/>
        <w:jc w:val="both"/>
        <w:rPr>
          <w:rFonts w:ascii="Verdana" w:hAnsi="Verdana"/>
        </w:rPr>
      </w:pPr>
      <w:r w:rsidRPr="00806540">
        <w:rPr>
          <w:rFonts w:ascii="Verdana" w:hAnsi="Verdana"/>
        </w:rPr>
        <w:t>Canada’s National Advisory Committee on Immunization (NACI) recommends influenza immunization for high-risk individuals, such as adults 65+ and people with chronic diseases</w:t>
      </w:r>
      <w:r w:rsidRPr="00806540">
        <w:rPr>
          <w:rFonts w:ascii="Verdana" w:hAnsi="Verdana"/>
          <w:vertAlign w:val="superscript"/>
        </w:rPr>
        <w:t>5</w:t>
      </w:r>
      <w:r w:rsidRPr="00806540">
        <w:rPr>
          <w:rFonts w:ascii="Verdana" w:hAnsi="Verdana"/>
        </w:rPr>
        <w:t xml:space="preserve">. </w:t>
      </w:r>
    </w:p>
    <w:p w14:paraId="2CB8895D" w14:textId="77777777" w:rsidR="00806540" w:rsidRPr="00806540" w:rsidRDefault="00806540" w:rsidP="00806540">
      <w:pPr>
        <w:spacing w:after="0" w:line="240" w:lineRule="auto"/>
        <w:rPr>
          <w:rFonts w:ascii="Verdana" w:hAnsi="Verdana"/>
        </w:rPr>
      </w:pPr>
      <w:bookmarkStart w:id="1" w:name="_Hlk53066924"/>
    </w:p>
    <w:p w14:paraId="3E7A89E7" w14:textId="77777777" w:rsidR="00806540" w:rsidRPr="00806540" w:rsidRDefault="00806540" w:rsidP="00806540">
      <w:pPr>
        <w:spacing w:after="0" w:line="240" w:lineRule="auto"/>
        <w:rPr>
          <w:rFonts w:ascii="Verdana" w:hAnsi="Verdana"/>
        </w:rPr>
      </w:pPr>
      <w:bookmarkStart w:id="2" w:name="_Hlk53058811"/>
      <w:r w:rsidRPr="00806540">
        <w:rPr>
          <w:rFonts w:ascii="Verdana" w:hAnsi="Verdana"/>
        </w:rPr>
        <w:t xml:space="preserve">Vaccination does not provide 100% protection and does not treat influenza and / or its complications or prevent hospitalization or death after the onset of disease. </w:t>
      </w:r>
    </w:p>
    <w:bookmarkEnd w:id="1"/>
    <w:bookmarkEnd w:id="2"/>
    <w:p w14:paraId="14ABD3CA" w14:textId="016EC3D9" w:rsidR="00847BA3" w:rsidRDefault="00847BA3">
      <w:pPr>
        <w:rPr>
          <w:rFonts w:ascii="Verdana" w:hAnsi="Verdana"/>
        </w:rPr>
      </w:pPr>
    </w:p>
    <w:sectPr w:rsidR="00847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8071" w14:textId="77777777" w:rsidR="002A1E05" w:rsidRDefault="002A1E05" w:rsidP="00806540">
      <w:pPr>
        <w:spacing w:after="0" w:line="240" w:lineRule="auto"/>
      </w:pPr>
      <w:r>
        <w:separator/>
      </w:r>
    </w:p>
  </w:endnote>
  <w:endnote w:type="continuationSeparator" w:id="0">
    <w:p w14:paraId="6752257A" w14:textId="77777777" w:rsidR="002A1E05" w:rsidRDefault="002A1E05" w:rsidP="00806540">
      <w:pPr>
        <w:spacing w:after="0" w:line="240" w:lineRule="auto"/>
      </w:pPr>
      <w:r>
        <w:continuationSeparator/>
      </w:r>
    </w:p>
  </w:endnote>
  <w:endnote w:id="1">
    <w:p w14:paraId="45669963" w14:textId="77777777" w:rsidR="00806540" w:rsidRPr="000E07DE" w:rsidRDefault="00806540" w:rsidP="00806540">
      <w:pPr>
        <w:pStyle w:val="NoSpacing"/>
        <w:rPr>
          <w:rFonts w:ascii="Calibri" w:hAnsi="Calibri" w:cs="Arial"/>
          <w:sz w:val="20"/>
          <w:szCs w:val="20"/>
        </w:rPr>
      </w:pPr>
      <w:r w:rsidRPr="000E07DE">
        <w:rPr>
          <w:rStyle w:val="EndnoteReference"/>
          <w:rFonts w:ascii="Calibri" w:hAnsi="Calibri" w:cs="Arial"/>
          <w:sz w:val="20"/>
          <w:szCs w:val="20"/>
        </w:rPr>
        <w:endnoteRef/>
      </w:r>
      <w:r w:rsidRPr="000E07DE">
        <w:rPr>
          <w:rFonts w:ascii="Calibri" w:hAnsi="Calibri" w:cs="Arial"/>
          <w:sz w:val="20"/>
          <w:szCs w:val="20"/>
        </w:rPr>
        <w:t xml:space="preserve"> </w:t>
      </w:r>
      <w:r w:rsidRPr="000E07DE">
        <w:rPr>
          <w:rFonts w:ascii="Calibri" w:eastAsiaTheme="minorEastAsia" w:hAnsi="Calibri" w:cs="Arial"/>
          <w:noProof/>
          <w:sz w:val="20"/>
          <w:szCs w:val="20"/>
          <w:lang w:eastAsia="ja-JP"/>
        </w:rPr>
        <w:t xml:space="preserve">Haq, K., McElhaney, J. E. (2014). Immunosenescence: Influenza vaccination and the elderly. </w:t>
      </w:r>
      <w:r w:rsidRPr="000E07DE">
        <w:rPr>
          <w:rFonts w:ascii="Calibri" w:eastAsiaTheme="minorEastAsia" w:hAnsi="Calibri" w:cs="Arial"/>
          <w:i/>
          <w:noProof/>
          <w:sz w:val="20"/>
          <w:szCs w:val="20"/>
          <w:lang w:eastAsia="ja-JP"/>
        </w:rPr>
        <w:t>Curr Opin Immunol,</w:t>
      </w:r>
      <w:r w:rsidRPr="000E07DE">
        <w:rPr>
          <w:rFonts w:ascii="Calibri" w:eastAsiaTheme="minorEastAsia" w:hAnsi="Calibri" w:cs="Arial"/>
          <w:noProof/>
          <w:sz w:val="20"/>
          <w:szCs w:val="20"/>
          <w:lang w:eastAsia="ja-JP"/>
        </w:rPr>
        <w:t xml:space="preserve"> </w:t>
      </w:r>
      <w:r w:rsidRPr="000E07DE">
        <w:rPr>
          <w:rFonts w:ascii="Calibri" w:eastAsiaTheme="minorEastAsia" w:hAnsi="Calibri" w:cs="Arial"/>
          <w:i/>
          <w:noProof/>
          <w:sz w:val="20"/>
          <w:szCs w:val="20"/>
          <w:lang w:eastAsia="ja-JP"/>
        </w:rPr>
        <w:t>29</w:t>
      </w:r>
      <w:r w:rsidRPr="000E07DE">
        <w:rPr>
          <w:rFonts w:ascii="Calibri" w:eastAsiaTheme="minorEastAsia" w:hAnsi="Calibri" w:cs="Arial"/>
          <w:noProof/>
          <w:sz w:val="20"/>
          <w:szCs w:val="20"/>
          <w:lang w:eastAsia="ja-JP"/>
        </w:rPr>
        <w:t>,38-42</w:t>
      </w:r>
    </w:p>
  </w:endnote>
  <w:endnote w:id="2">
    <w:p w14:paraId="0C17481B" w14:textId="77777777" w:rsidR="00806540" w:rsidRPr="000E07DE" w:rsidRDefault="00806540" w:rsidP="00806540">
      <w:pPr>
        <w:pStyle w:val="NoSpacing"/>
        <w:rPr>
          <w:rFonts w:ascii="Calibri" w:hAnsi="Calibri" w:cs="Arial"/>
          <w:sz w:val="20"/>
          <w:szCs w:val="20"/>
        </w:rPr>
      </w:pPr>
      <w:r w:rsidRPr="000E07DE">
        <w:rPr>
          <w:rStyle w:val="EndnoteReference"/>
          <w:rFonts w:ascii="Calibri" w:hAnsi="Calibri" w:cs="Arial"/>
          <w:sz w:val="20"/>
          <w:szCs w:val="20"/>
        </w:rPr>
        <w:endnoteRef/>
      </w:r>
      <w:r w:rsidRPr="000E07DE">
        <w:rPr>
          <w:rFonts w:ascii="Calibri" w:hAnsi="Calibri" w:cs="Arial"/>
          <w:sz w:val="20"/>
          <w:szCs w:val="20"/>
        </w:rPr>
        <w:t xml:space="preserve"> Monto A.S., </w:t>
      </w:r>
      <w:proofErr w:type="spellStart"/>
      <w:r w:rsidRPr="000E07DE">
        <w:rPr>
          <w:rFonts w:ascii="Calibri" w:hAnsi="Calibri" w:cs="Arial"/>
          <w:sz w:val="20"/>
          <w:szCs w:val="20"/>
        </w:rPr>
        <w:t>Ansaldi</w:t>
      </w:r>
      <w:proofErr w:type="spellEnd"/>
      <w:r w:rsidRPr="000E07DE">
        <w:rPr>
          <w:rFonts w:ascii="Calibri" w:hAnsi="Calibri" w:cs="Arial"/>
          <w:sz w:val="20"/>
          <w:szCs w:val="20"/>
        </w:rPr>
        <w:t xml:space="preserve">, F., McElhaney, J.E., Montano, L.F., Nichol, K.L., Puig-Barbera, </w:t>
      </w:r>
      <w:proofErr w:type="spellStart"/>
      <w:proofErr w:type="gramStart"/>
      <w:r w:rsidRPr="000E07DE">
        <w:rPr>
          <w:rFonts w:ascii="Calibri" w:hAnsi="Calibri" w:cs="Arial"/>
          <w:sz w:val="20"/>
          <w:szCs w:val="20"/>
        </w:rPr>
        <w:t>J.,Stephenson</w:t>
      </w:r>
      <w:proofErr w:type="spellEnd"/>
      <w:proofErr w:type="gramEnd"/>
      <w:r w:rsidRPr="000E07DE">
        <w:rPr>
          <w:rFonts w:ascii="Calibri" w:hAnsi="Calibri" w:cs="Arial"/>
          <w:sz w:val="20"/>
          <w:szCs w:val="20"/>
        </w:rPr>
        <w:t xml:space="preserve">, I. (2009). Influenza control in the 21st century: Optimizing protection of older adults. </w:t>
      </w:r>
      <w:r w:rsidRPr="000E07DE">
        <w:rPr>
          <w:rFonts w:ascii="Calibri" w:hAnsi="Calibri" w:cs="Arial"/>
          <w:i/>
          <w:iCs/>
          <w:sz w:val="20"/>
          <w:szCs w:val="20"/>
        </w:rPr>
        <w:t>Vaccine</w:t>
      </w:r>
      <w:r w:rsidRPr="000E07DE">
        <w:rPr>
          <w:rFonts w:ascii="Calibri" w:hAnsi="Calibri" w:cs="Arial"/>
          <w:sz w:val="20"/>
          <w:szCs w:val="20"/>
        </w:rPr>
        <w:t xml:space="preserve">, </w:t>
      </w:r>
      <w:r w:rsidRPr="000E07DE">
        <w:rPr>
          <w:rFonts w:ascii="Calibri" w:hAnsi="Calibri" w:cs="Arial"/>
          <w:i/>
          <w:iCs/>
          <w:sz w:val="20"/>
          <w:szCs w:val="20"/>
        </w:rPr>
        <w:t>27</w:t>
      </w:r>
      <w:r w:rsidRPr="000E07DE">
        <w:rPr>
          <w:rFonts w:ascii="Calibri" w:hAnsi="Calibri" w:cs="Arial"/>
          <w:sz w:val="20"/>
          <w:szCs w:val="20"/>
        </w:rPr>
        <w:t>, 5043-5053</w:t>
      </w:r>
    </w:p>
  </w:endnote>
  <w:endnote w:id="3">
    <w:p w14:paraId="7435DED1" w14:textId="77777777" w:rsidR="00806540" w:rsidRDefault="00806540" w:rsidP="00806540">
      <w:pPr>
        <w:pStyle w:val="EndnoteText"/>
      </w:pPr>
      <w:r>
        <w:rPr>
          <w:rStyle w:val="EndnoteReference"/>
        </w:rPr>
        <w:endnoteRef/>
      </w:r>
      <w:r>
        <w:t xml:space="preserve"> </w:t>
      </w:r>
      <w:proofErr w:type="spellStart"/>
      <w:r w:rsidRPr="000E07DE">
        <w:rPr>
          <w:rFonts w:ascii="Calibri" w:hAnsi="Calibri" w:cs="Arial"/>
        </w:rPr>
        <w:t>Covinsky</w:t>
      </w:r>
      <w:proofErr w:type="spellEnd"/>
      <w:r w:rsidRPr="000E07DE">
        <w:rPr>
          <w:rFonts w:ascii="Calibri" w:hAnsi="Calibri" w:cs="Arial"/>
        </w:rPr>
        <w:t xml:space="preserve">, K.E., Palmer, R.M., </w:t>
      </w:r>
      <w:proofErr w:type="spellStart"/>
      <w:r w:rsidRPr="000E07DE">
        <w:rPr>
          <w:rFonts w:ascii="Calibri" w:hAnsi="Calibri" w:cs="Arial"/>
        </w:rPr>
        <w:t>Fortinsky</w:t>
      </w:r>
      <w:proofErr w:type="spellEnd"/>
      <w:r w:rsidRPr="000E07DE">
        <w:rPr>
          <w:rFonts w:ascii="Calibri" w:hAnsi="Calibri" w:cs="Arial"/>
        </w:rPr>
        <w:t xml:space="preserve">, R.H., </w:t>
      </w:r>
      <w:proofErr w:type="spellStart"/>
      <w:r w:rsidRPr="000E07DE">
        <w:rPr>
          <w:rFonts w:ascii="Calibri" w:hAnsi="Calibri" w:cs="Arial"/>
        </w:rPr>
        <w:t>Counsell</w:t>
      </w:r>
      <w:proofErr w:type="spellEnd"/>
      <w:r w:rsidRPr="000E07DE">
        <w:rPr>
          <w:rFonts w:ascii="Calibri" w:hAnsi="Calibri" w:cs="Arial"/>
        </w:rPr>
        <w:t xml:space="preserve">, S.R., Stewart, A.L., </w:t>
      </w:r>
      <w:proofErr w:type="spellStart"/>
      <w:r w:rsidRPr="000E07DE">
        <w:rPr>
          <w:rFonts w:ascii="Calibri" w:hAnsi="Calibri" w:cs="Arial"/>
        </w:rPr>
        <w:t>Kresevic</w:t>
      </w:r>
      <w:proofErr w:type="spellEnd"/>
      <w:r w:rsidRPr="000E07DE">
        <w:rPr>
          <w:rFonts w:ascii="Calibri" w:hAnsi="Calibri" w:cs="Arial"/>
        </w:rPr>
        <w:t xml:space="preserve">, D., </w:t>
      </w:r>
      <w:proofErr w:type="spellStart"/>
      <w:r w:rsidRPr="000E07DE">
        <w:rPr>
          <w:rFonts w:ascii="Calibri" w:hAnsi="Calibri" w:cs="Arial"/>
        </w:rPr>
        <w:t>Burant</w:t>
      </w:r>
      <w:proofErr w:type="spellEnd"/>
      <w:r w:rsidRPr="000E07DE">
        <w:rPr>
          <w:rFonts w:ascii="Calibri" w:hAnsi="Calibri" w:cs="Arial"/>
        </w:rPr>
        <w:t xml:space="preserve">, C.J., &amp; </w:t>
      </w:r>
      <w:proofErr w:type="spellStart"/>
      <w:r w:rsidRPr="000E07DE">
        <w:rPr>
          <w:rFonts w:ascii="Calibri" w:hAnsi="Calibri" w:cs="Arial"/>
        </w:rPr>
        <w:t>Landefeld</w:t>
      </w:r>
      <w:proofErr w:type="spellEnd"/>
      <w:r w:rsidRPr="000E07DE">
        <w:rPr>
          <w:rFonts w:ascii="Calibri" w:hAnsi="Calibri" w:cs="Arial"/>
        </w:rPr>
        <w:t xml:space="preserve">, C.S. (2003). Loss of independence in activities of daily living in older adults hospitalized with medical illnesses: Increased vulnerability with age. The American Geriatrics Society, 51, 451-458. </w:t>
      </w:r>
      <w:proofErr w:type="spellStart"/>
      <w:r w:rsidRPr="000E07DE">
        <w:rPr>
          <w:rFonts w:ascii="Calibri" w:hAnsi="Calibri" w:cs="Arial"/>
        </w:rPr>
        <w:t>doi</w:t>
      </w:r>
      <w:proofErr w:type="spellEnd"/>
      <w:r w:rsidRPr="000E07DE">
        <w:rPr>
          <w:rFonts w:ascii="Calibri" w:hAnsi="Calibri" w:cs="Arial"/>
        </w:rPr>
        <w:t>: 10.1046/j.1532- 5415.2003.51152.x</w:t>
      </w:r>
    </w:p>
  </w:endnote>
  <w:endnote w:id="4">
    <w:p w14:paraId="51B1DBCE" w14:textId="77777777" w:rsidR="00806540" w:rsidRDefault="00806540" w:rsidP="00806540">
      <w:pPr>
        <w:pStyle w:val="EndnoteText"/>
        <w:rPr>
          <w:rFonts w:ascii="Calibri" w:hAnsi="Calibri" w:cs="Arial"/>
        </w:rPr>
      </w:pPr>
      <w:r>
        <w:rPr>
          <w:rStyle w:val="EndnoteReference"/>
        </w:rPr>
        <w:endnoteRef/>
      </w:r>
      <w:r>
        <w:t xml:space="preserve"> </w:t>
      </w:r>
      <w:r w:rsidRPr="000E07DE">
        <w:rPr>
          <w:rFonts w:ascii="Calibri" w:hAnsi="Calibri" w:cs="Arial"/>
        </w:rPr>
        <w:t>Graf, C. (2006). Functional decline in hospitalized older adults. The American Journal of Nursing, 106(1), 58-67.</w:t>
      </w:r>
    </w:p>
    <w:p w14:paraId="2F4A4C9F" w14:textId="77777777" w:rsidR="00806540" w:rsidRPr="001439F0" w:rsidRDefault="00806540" w:rsidP="00806540">
      <w:pPr>
        <w:pStyle w:val="EndnoteText"/>
        <w:rPr>
          <w:rFonts w:ascii="Calibri" w:hAnsi="Calibri" w:cs="Arial"/>
        </w:rPr>
      </w:pPr>
      <w:r>
        <w:rPr>
          <w:rStyle w:val="EndnoteReference"/>
        </w:rPr>
        <w:t>5</w:t>
      </w:r>
      <w:r>
        <w:t xml:space="preserve"> </w:t>
      </w:r>
      <w:r w:rsidRPr="00C87F90">
        <w:rPr>
          <w:rFonts w:ascii="Calibri" w:hAnsi="Calibri" w:cs="Arial"/>
        </w:rPr>
        <w:t>Public Health Agency of Canada. (2021). An Advisory Committee Statement (ACS)/National Advisory Committee on Immunization (NACI): Canadian Immunization Guide Chapter on Influenza and Statement on Seasonal Influenza Vaccine for 2021–2022. https://www.canada.ca/content/dam/phac-aspc/documents/services/publications/healthy-living/canadian-immunization-guide-statement-seasonal-influenza-vaccine-2020-2021/naci-2020-2021-seasonal-influenza-stmt-eng.pdf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B215" w14:textId="77777777" w:rsidR="002A1E05" w:rsidRDefault="002A1E05" w:rsidP="00806540">
      <w:pPr>
        <w:spacing w:after="0" w:line="240" w:lineRule="auto"/>
      </w:pPr>
      <w:r>
        <w:separator/>
      </w:r>
    </w:p>
  </w:footnote>
  <w:footnote w:type="continuationSeparator" w:id="0">
    <w:p w14:paraId="023DE490" w14:textId="77777777" w:rsidR="002A1E05" w:rsidRDefault="002A1E05" w:rsidP="00806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40"/>
    <w:rsid w:val="002A1E05"/>
    <w:rsid w:val="007D53CE"/>
    <w:rsid w:val="00806540"/>
    <w:rsid w:val="0084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3381"/>
  <w15:chartTrackingRefBased/>
  <w15:docId w15:val="{3EFBC6FE-E5C1-4288-87E1-61E0F4F7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40"/>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06540"/>
    <w:pPr>
      <w:spacing w:after="0" w:line="240" w:lineRule="auto"/>
    </w:pPr>
    <w:rPr>
      <w:sz w:val="20"/>
      <w:szCs w:val="20"/>
    </w:rPr>
  </w:style>
  <w:style w:type="character" w:customStyle="1" w:styleId="EndnoteTextChar">
    <w:name w:val="Endnote Text Char"/>
    <w:basedOn w:val="DefaultParagraphFont"/>
    <w:link w:val="EndnoteText"/>
    <w:uiPriority w:val="99"/>
    <w:rsid w:val="00806540"/>
    <w:rPr>
      <w:sz w:val="20"/>
      <w:szCs w:val="20"/>
      <w:lang w:val="en-CA"/>
    </w:rPr>
  </w:style>
  <w:style w:type="character" w:styleId="EndnoteReference">
    <w:name w:val="endnote reference"/>
    <w:basedOn w:val="DefaultParagraphFont"/>
    <w:uiPriority w:val="99"/>
    <w:unhideWhenUsed/>
    <w:rsid w:val="00806540"/>
    <w:rPr>
      <w:vertAlign w:val="superscript"/>
    </w:rPr>
  </w:style>
  <w:style w:type="paragraph" w:styleId="NoSpacing">
    <w:name w:val="No Spacing"/>
    <w:uiPriority w:val="1"/>
    <w:qFormat/>
    <w:rsid w:val="00806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Whalen</dc:creator>
  <cp:keywords/>
  <dc:description/>
  <cp:lastModifiedBy>Karin Whalen</cp:lastModifiedBy>
  <cp:revision>1</cp:revision>
  <dcterms:created xsi:type="dcterms:W3CDTF">2021-10-22T15:09:00Z</dcterms:created>
  <dcterms:modified xsi:type="dcterms:W3CDTF">2021-10-22T15:19:00Z</dcterms:modified>
</cp:coreProperties>
</file>